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9F5EDC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both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  <w:r>
        <w:rPr>
          <w:rFonts w:hint="eastAsia" w:ascii="Times New Roman" w:hAnsi="Times New Roman" w:cs="Times New Roman"/>
          <w:kern w:val="2"/>
          <w:sz w:val="15"/>
          <w:szCs w:val="15"/>
          <w:highlight w:val="none"/>
          <w:lang w:val="en-US" w:eastAsia="zh-CN" w:bidi="ar-SA"/>
        </w:rPr>
        <w:t xml:space="preserve">         </w:t>
      </w:r>
      <w:r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  <w:drawing>
          <wp:inline distT="0" distB="0" distL="114300" distR="114300">
            <wp:extent cx="5399405" cy="8449310"/>
            <wp:effectExtent l="0" t="0" r="10795" b="8890"/>
            <wp:docPr id="3" name="图片 3" descr="280.200.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80.200.15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844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8FA63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6A7AB4D2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1E14DF63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3C4CAD5B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1B6DF463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6FC1ECA8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061D461C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2706E08F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center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</w:p>
    <w:p w14:paraId="4FAB1863">
      <w:pPr>
        <w:pStyle w:val="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Chars="0"/>
        <w:jc w:val="both"/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</w:pPr>
      <w:r>
        <w:rPr>
          <w:rFonts w:hint="eastAsia" w:ascii="Times New Roman" w:hAnsi="Times New Roman" w:cs="Times New Roman"/>
          <w:kern w:val="2"/>
          <w:sz w:val="15"/>
          <w:szCs w:val="15"/>
          <w:highlight w:val="none"/>
          <w:lang w:val="en-US" w:eastAsia="zh-CN" w:bidi="ar-SA"/>
        </w:rPr>
        <w:t xml:space="preserve">        </w:t>
      </w:r>
      <w:r>
        <w:rPr>
          <w:rFonts w:hint="default" w:ascii="Times New Roman" w:hAnsi="Times New Roman" w:cs="Times New Roman" w:eastAsiaTheme="minorEastAsia"/>
          <w:kern w:val="2"/>
          <w:sz w:val="15"/>
          <w:szCs w:val="15"/>
          <w:highlight w:val="none"/>
          <w:lang w:val="en-US" w:eastAsia="zh-CN" w:bidi="ar-SA"/>
        </w:rPr>
        <w:drawing>
          <wp:inline distT="0" distB="0" distL="114300" distR="114300">
            <wp:extent cx="5399405" cy="5608320"/>
            <wp:effectExtent l="0" t="0" r="10795" b="0"/>
            <wp:docPr id="1" name="图片 1" descr="100.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0.5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7416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jc w:val="center"/>
        <w:textAlignment w:val="auto"/>
        <w:rPr>
          <w:rFonts w:hint="default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</w:pPr>
      <w:r>
        <w:rPr>
          <w:rFonts w:hint="eastAsia" w:ascii="Times New Roman" w:hAnsi="Times New Roman" w:cs="Times New Roman"/>
          <w:kern w:val="2"/>
          <w:sz w:val="15"/>
          <w:szCs w:val="15"/>
          <w:highlight w:val="none"/>
          <w:lang w:val="en-US" w:eastAsia="zh-CN" w:bidi="ar-SA"/>
        </w:rPr>
        <w:t xml:space="preserve"> 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>附图1</w:t>
      </w:r>
      <w:r>
        <w:rPr>
          <w:rFonts w:hint="default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 xml:space="preserve"> 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>武家梁1号地点钾长石单片</w:t>
      </w:r>
      <w:r>
        <w:rPr>
          <w:rFonts w:hint="default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>MET-pIRIR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subscript"/>
          <w:lang w:val="en-US" w:eastAsia="zh-CN" w:bidi="ar-SA"/>
        </w:rPr>
        <w:t>50-200,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280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℃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>等效剂量雷达分布图</w:t>
      </w:r>
    </w:p>
    <w:p w14:paraId="0F4DEEC5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</w:pP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 xml:space="preserve">Attached 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>Fig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 xml:space="preserve">.1 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 xml:space="preserve">Radial plots of single-aliquot </w:t>
      </w:r>
      <w:r>
        <w:rPr>
          <w:rFonts w:hint="default" w:ascii="Times New Roman" w:hAnsi="Times New Roman" w:cs="Times New Roman"/>
          <w:b/>
          <w:bCs/>
          <w:kern w:val="2"/>
          <w:sz w:val="18"/>
          <w:szCs w:val="18"/>
          <w:vertAlign w:val="baseline"/>
          <w:lang w:val="en-US" w:eastAsia="zh-CN" w:bidi="ar-SA"/>
        </w:rPr>
        <w:t>MET-pIRIR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subscript"/>
          <w:lang w:val="en-US" w:eastAsia="zh-CN" w:bidi="ar-SA"/>
        </w:rPr>
        <w:t>50~200,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280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℃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 xml:space="preserve"> 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>De values for K-feldspar samples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 xml:space="preserve"> from 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>the W</w:t>
      </w:r>
      <w:r>
        <w:rPr>
          <w:rStyle w:val="8"/>
          <w:rFonts w:hint="eastAsia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>JL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lang w:val="en-US" w:eastAsia="zh-CN" w:bidi="ar"/>
        </w:rPr>
        <w:t>1 site</w:t>
      </w:r>
    </w:p>
    <w:p w14:paraId="11515A64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color w:val="auto"/>
        </w:rPr>
      </w:pPr>
      <w:r>
        <w:rPr>
          <w:rFonts w:hint="eastAsia" w:ascii="Times New Roman" w:hAnsi="Times New Roman" w:eastAsia="仿宋" w:cs="Times New Roman"/>
          <w:color w:val="auto"/>
          <w:kern w:val="0"/>
          <w:sz w:val="15"/>
          <w:szCs w:val="15"/>
          <w:lang w:val="en-US" w:eastAsia="zh-CN" w:bidi="ar"/>
        </w:rPr>
        <w:t>注：</w:t>
      </w:r>
      <w:r>
        <w:rPr>
          <w:rFonts w:hint="default" w:ascii="Times New Roman" w:hAnsi="Times New Roman" w:eastAsia="仿宋" w:cs="Times New Roman"/>
          <w:color w:val="auto"/>
          <w:kern w:val="0"/>
          <w:sz w:val="15"/>
          <w:szCs w:val="15"/>
          <w:lang w:val="en-US" w:eastAsia="zh-CN" w:bidi="ar"/>
        </w:rPr>
        <w:t>图中灰色阴影区代表样品的加权平均De 值/ The grey bands in each panel represent the CAM De values.</w:t>
      </w:r>
    </w:p>
    <w:p w14:paraId="62BD537A"/>
    <w:p w14:paraId="0CC8FABF"/>
    <w:p w14:paraId="12EBFE48"/>
    <w:p w14:paraId="72C21318"/>
    <w:p w14:paraId="323F25D6"/>
    <w:p w14:paraId="375B1CF8"/>
    <w:p w14:paraId="69E26B6C"/>
    <w:p w14:paraId="04276802"/>
    <w:p w14:paraId="77DCB0C3"/>
    <w:p w14:paraId="37441E39"/>
    <w:p w14:paraId="6D63DBA2"/>
    <w:p w14:paraId="3EAC03A7"/>
    <w:p w14:paraId="1FC65436"/>
    <w:p w14:paraId="765377FE"/>
    <w:p w14:paraId="676F7E66"/>
    <w:p w14:paraId="184E30FF"/>
    <w:p w14:paraId="7AFBE296"/>
    <w:p w14:paraId="34DA7C76">
      <w:pPr>
        <w:widowControl/>
        <w:jc w:val="both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sectPr>
          <w:pgSz w:w="11906" w:h="16838"/>
          <w:pgMar w:top="720" w:right="720" w:bottom="720" w:left="720" w:header="851" w:footer="992" w:gutter="0"/>
          <w:cols w:space="0" w:num="1"/>
          <w:rtlGutter w:val="0"/>
          <w:docGrid w:type="lines" w:linePitch="312" w:charSpace="0"/>
        </w:sectPr>
      </w:pPr>
    </w:p>
    <w:p w14:paraId="79F00ABC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</w:pPr>
    </w:p>
    <w:p w14:paraId="11B59225">
      <w:pPr>
        <w:widowControl/>
        <w:jc w:val="center"/>
        <w:rPr>
          <w:rFonts w:hint="default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</w:pP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>附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>表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 xml:space="preserve">1 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 xml:space="preserve"> 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>钾长石单片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 xml:space="preserve"> MET-pIRIR法测试步骤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 xml:space="preserve"> (Li and Li, 2011)</w:t>
      </w:r>
    </w:p>
    <w:p w14:paraId="3A5817C3">
      <w:pPr>
        <w:widowControl/>
        <w:jc w:val="center"/>
        <w:rPr>
          <w:rFonts w:hint="eastAsia" w:asciiTheme="minorEastAsia" w:hAnsiTheme="minorEastAsia" w:cstheme="minor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Attached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Tab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le 1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>. The De m</w:t>
      </w:r>
      <w:r>
        <w:rPr>
          <w:rFonts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>easurement pro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>cedure</w:t>
      </w:r>
      <w:r>
        <w:rPr>
          <w:rFonts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 xml:space="preserve"> for the 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 xml:space="preserve">SAR </w:t>
      </w:r>
      <w:r>
        <w:rPr>
          <w:rFonts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  <w:t>MET-pIRIR method</w:t>
      </w:r>
      <w:r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val="en-US" w:eastAsia="zh-CN" w:bidi="ar"/>
        </w:rPr>
        <w:t>.</w:t>
      </w:r>
      <w:r>
        <w:rPr>
          <w:rFonts w:hint="eastAsia" w:asciiTheme="minorEastAsia" w:hAnsiTheme="minorEastAsia" w:cstheme="minor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</w:t>
      </w:r>
    </w:p>
    <w:tbl>
      <w:tblPr>
        <w:tblStyle w:val="6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6"/>
        <w:gridCol w:w="3149"/>
        <w:gridCol w:w="936"/>
      </w:tblGrid>
      <w:tr w14:paraId="2DA50C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noWrap/>
            <w:vAlign w:val="center"/>
          </w:tcPr>
          <w:p w14:paraId="37C0D325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步骤</w:t>
            </w:r>
          </w:p>
        </w:tc>
        <w:tc>
          <w:tcPr>
            <w:tcW w:w="0" w:type="auto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noWrap/>
            <w:vAlign w:val="center"/>
          </w:tcPr>
          <w:p w14:paraId="0B0FDBB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实验过程</w:t>
            </w:r>
          </w:p>
        </w:tc>
        <w:tc>
          <w:tcPr>
            <w:tcW w:w="0" w:type="auto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noWrap/>
            <w:vAlign w:val="center"/>
          </w:tcPr>
          <w:p w14:paraId="0B10F364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释光信号</w:t>
            </w:r>
          </w:p>
        </w:tc>
      </w:tr>
      <w:tr w14:paraId="77D89D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single" w:color="000000" w:sz="8" w:space="0"/>
              <w:left w:val="nil"/>
              <w:bottom w:val="nil"/>
              <w:right w:val="nil"/>
            </w:tcBorders>
            <w:noWrap/>
            <w:vAlign w:val="center"/>
          </w:tcPr>
          <w:p w14:paraId="199C09E3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0" w:type="auto"/>
            <w:tcBorders>
              <w:top w:val="single" w:color="000000" w:sz="8" w:space="0"/>
              <w:left w:val="nil"/>
              <w:bottom w:val="nil"/>
              <w:right w:val="nil"/>
            </w:tcBorders>
            <w:noWrap/>
            <w:vAlign w:val="center"/>
          </w:tcPr>
          <w:p w14:paraId="6C76AB4F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附加再生剂量，D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i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perscript"/>
                <w:lang w:bidi="ar"/>
              </w:rPr>
              <w:t>a</w:t>
            </w:r>
          </w:p>
        </w:tc>
        <w:tc>
          <w:tcPr>
            <w:tcW w:w="0" w:type="auto"/>
            <w:tcBorders>
              <w:top w:val="single" w:color="000000" w:sz="8" w:space="0"/>
              <w:left w:val="nil"/>
              <w:bottom w:val="nil"/>
              <w:right w:val="nil"/>
            </w:tcBorders>
            <w:noWrap/>
            <w:vAlign w:val="center"/>
          </w:tcPr>
          <w:p w14:paraId="061F66A7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  <w:tr w14:paraId="623CD1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A10786D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A9B6415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预热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300℃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60s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4BC2059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  <w:tr w14:paraId="15FEDA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BE1693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C38D361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23B801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(50)</w:t>
            </w:r>
          </w:p>
        </w:tc>
      </w:tr>
      <w:tr w14:paraId="15437B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BE1EBFA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4385DD2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6E729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(100)</w:t>
            </w:r>
          </w:p>
        </w:tc>
      </w:tr>
      <w:tr w14:paraId="32EFB4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FC80379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B258903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837A8E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(150)</w:t>
            </w:r>
          </w:p>
        </w:tc>
      </w:tr>
      <w:tr w14:paraId="44D725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7B74B80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5DDFA55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846E8B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(200)</w:t>
            </w:r>
          </w:p>
        </w:tc>
      </w:tr>
      <w:tr w14:paraId="38FCE8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718758E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251AFCB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3771C6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(250)</w:t>
            </w:r>
          </w:p>
        </w:tc>
      </w:tr>
      <w:tr w14:paraId="4E5A45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70747E5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1741062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280℃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348079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L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(280)</w:t>
            </w:r>
          </w:p>
        </w:tc>
      </w:tr>
      <w:tr w14:paraId="27D7A7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61CD96A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A1BE5C1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检验剂量D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baseline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300 Gy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4BF77C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  <w:tr w14:paraId="785851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98E2362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A13856D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预热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300℃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60s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43E615D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  <w:tr w14:paraId="0B1699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D2298E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11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9A13123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344740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(50)</w:t>
            </w:r>
          </w:p>
        </w:tc>
      </w:tr>
      <w:tr w14:paraId="5453B5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78854A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12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5B5F0CE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28ADB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(100)</w:t>
            </w:r>
          </w:p>
        </w:tc>
      </w:tr>
      <w:tr w14:paraId="42EC58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E5FD304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13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ED90B3F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D3EEB4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(150)</w:t>
            </w:r>
          </w:p>
        </w:tc>
      </w:tr>
      <w:tr w14:paraId="751F58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C2BDA1D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A7C5384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98D76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(200)</w:t>
            </w:r>
          </w:p>
        </w:tc>
      </w:tr>
      <w:tr w14:paraId="5E4FD8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2C0073D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41EF967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250℃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CAD6B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(250)</w:t>
            </w:r>
          </w:p>
        </w:tc>
      </w:tr>
      <w:tr w14:paraId="7ACE3A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3B06D2B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8957B3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红外二极管激发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280℃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150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4445B7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vertAlign w:val="subscript"/>
                <w:lang w:val="en-US" w:eastAsia="zh-CN" w:bidi="ar"/>
              </w:rPr>
              <w:t>(280)</w:t>
            </w:r>
          </w:p>
        </w:tc>
      </w:tr>
      <w:tr w14:paraId="38B3AB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FEFFEDE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745642C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红外晒退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300℃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100 s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val="en-US" w:eastAsia="zh-CN" w:bidi="ar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896F442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  <w:tr w14:paraId="6F46A2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0" w:type="auto"/>
            <w:tcBorders>
              <w:top w:val="nil"/>
              <w:left w:val="nil"/>
              <w:bottom w:val="single" w:color="000000" w:sz="4" w:space="0"/>
              <w:right w:val="nil"/>
            </w:tcBorders>
            <w:noWrap/>
            <w:vAlign w:val="center"/>
          </w:tcPr>
          <w:p w14:paraId="22E3A186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sz="4" w:space="0"/>
              <w:right w:val="nil"/>
            </w:tcBorders>
            <w:noWrap/>
            <w:vAlign w:val="center"/>
          </w:tcPr>
          <w:p w14:paraId="4B1CCF68">
            <w:pPr>
              <w:widowControl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18"/>
                <w:szCs w:val="18"/>
                <w:lang w:bidi="ar"/>
              </w:rPr>
              <w:t>返回第一步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sz="4" w:space="0"/>
              <w:right w:val="nil"/>
            </w:tcBorders>
            <w:noWrap/>
            <w:vAlign w:val="center"/>
          </w:tcPr>
          <w:p w14:paraId="7FB205EF"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</w:p>
        </w:tc>
      </w:tr>
    </w:tbl>
    <w:p w14:paraId="037C5F9A">
      <w:pPr>
        <w:ind w:firstLine="300" w:firstLineChars="200"/>
        <w:jc w:val="center"/>
        <w:rPr>
          <w:rFonts w:ascii="Times New Roman" w:hAnsi="Times New Roman" w:eastAsia="仿宋" w:cs="Times New Roman"/>
          <w:color w:val="231F20"/>
          <w:kern w:val="0"/>
          <w:sz w:val="15"/>
          <w:szCs w:val="15"/>
          <w:lang w:bidi="ar"/>
        </w:rPr>
      </w:pP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lang w:bidi="ar"/>
        </w:rPr>
        <w:t>注：a</w:t>
      </w:r>
      <w:r>
        <w:rPr>
          <w:rFonts w:hint="eastAsia" w:ascii="Times New Roman" w:hAnsi="Times New Roman" w:eastAsia="仿宋" w:cs="Times New Roman"/>
          <w:color w:val="231F20"/>
          <w:kern w:val="0"/>
          <w:sz w:val="15"/>
          <w:szCs w:val="15"/>
          <w:lang w:bidi="ar"/>
        </w:rPr>
        <w:t>.</w:t>
      </w: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lang w:bidi="ar"/>
        </w:rPr>
        <w:t>测量自然光释光信号时，i=0，D</w:t>
      </w: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vertAlign w:val="subscript"/>
          <w:lang w:bidi="ar"/>
        </w:rPr>
        <w:t>i</w:t>
      </w: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lang w:bidi="ar"/>
        </w:rPr>
        <w:t>=0。For the first cycle natural signals, i=0 and D</w:t>
      </w: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vertAlign w:val="subscript"/>
          <w:lang w:bidi="ar"/>
        </w:rPr>
        <w:t>i</w:t>
      </w:r>
      <w:r>
        <w:rPr>
          <w:rFonts w:ascii="Times New Roman" w:hAnsi="Times New Roman" w:eastAsia="仿宋" w:cs="Times New Roman"/>
          <w:color w:val="231F20"/>
          <w:kern w:val="0"/>
          <w:sz w:val="15"/>
          <w:szCs w:val="15"/>
          <w:lang w:bidi="ar"/>
        </w:rPr>
        <w:t>=0 Gy.</w:t>
      </w:r>
    </w:p>
    <w:p w14:paraId="3474F667">
      <w:pPr>
        <w:pStyle w:val="5"/>
      </w:pPr>
    </w:p>
    <w:p w14:paraId="0697FFE4">
      <w:pPr>
        <w:rPr>
          <w:rFonts w:hint="default" w:eastAsiaTheme="minorEastAsia"/>
          <w:lang w:val="en-US" w:eastAsia="zh-CN"/>
        </w:rPr>
      </w:pPr>
    </w:p>
    <w:p w14:paraId="4D2D74F0">
      <w:pPr>
        <w:rPr>
          <w:rFonts w:hint="default" w:eastAsiaTheme="minorEastAsia"/>
          <w:lang w:val="en-US" w:eastAsia="zh-CN"/>
        </w:rPr>
      </w:pPr>
    </w:p>
    <w:p w14:paraId="436FD5D7">
      <w:pPr>
        <w:rPr>
          <w:rFonts w:hint="default" w:eastAsiaTheme="minorEastAsia"/>
          <w:lang w:val="en-US" w:eastAsia="zh-CN"/>
        </w:rPr>
      </w:pPr>
    </w:p>
    <w:p w14:paraId="31DDA651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422D7469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32AF82A8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70B2ED52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0724784A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54AB9728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</w:p>
    <w:p w14:paraId="472602E5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  <w:t>附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表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2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武家梁1号地点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钾长石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单片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MET-pIRIR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subscript"/>
          <w:lang w:val="en-US" w:eastAsia="zh-CN" w:bidi="ar-SA"/>
        </w:rPr>
        <w:t>50~200,280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℃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年龄结果</w:t>
      </w:r>
    </w:p>
    <w:p w14:paraId="18A110E2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Attached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Tab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le 2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.</w:t>
      </w:r>
      <w:r>
        <w:rPr>
          <w:sz w:val="18"/>
          <w:szCs w:val="18"/>
        </w:rPr>
        <w:t xml:space="preserve"> 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>The potassium feldspar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SAR 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MET-pIRIR</w:t>
      </w:r>
      <w:r>
        <w:rPr>
          <w:rFonts w:hint="eastAsia" w:ascii="Times New Roman" w:hAnsi="Times New Roman" w:cs="Times New Roman"/>
          <w:b/>
          <w:bCs/>
          <w:kern w:val="2"/>
          <w:sz w:val="18"/>
          <w:szCs w:val="18"/>
          <w:vertAlign w:val="subscript"/>
          <w:lang w:val="en-US" w:eastAsia="zh-CN" w:bidi="ar-SA"/>
        </w:rPr>
        <w:t>50~200,280</w:t>
      </w:r>
      <w:r>
        <w:rPr>
          <w:rStyle w:val="8"/>
          <w:rFonts w:hint="default" w:ascii="Times New Roman" w:hAnsi="Times New Roman" w:eastAsia="宋体" w:cs="Times New Roman"/>
          <w:bCs w:val="0"/>
          <w:kern w:val="0"/>
          <w:sz w:val="18"/>
          <w:szCs w:val="18"/>
          <w:vertAlign w:val="subscript"/>
          <w:lang w:val="en-US" w:eastAsia="zh-CN" w:bidi="ar"/>
        </w:rPr>
        <w:t>℃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age results from the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WJL1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site</w:t>
      </w:r>
    </w:p>
    <w:tbl>
      <w:tblPr>
        <w:tblStyle w:val="6"/>
        <w:tblpPr w:leftFromText="180" w:rightFromText="180" w:vertAnchor="text" w:horzAnchor="page" w:tblpXSpec="center" w:tblpY="283"/>
        <w:tblOverlap w:val="never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6"/>
        <w:gridCol w:w="1026"/>
        <w:gridCol w:w="855"/>
        <w:gridCol w:w="1205"/>
        <w:gridCol w:w="1106"/>
        <w:gridCol w:w="1139"/>
        <w:gridCol w:w="1139"/>
        <w:gridCol w:w="1193"/>
        <w:gridCol w:w="1193"/>
        <w:gridCol w:w="1100"/>
        <w:gridCol w:w="1133"/>
        <w:gridCol w:w="1133"/>
        <w:gridCol w:w="1133"/>
        <w:gridCol w:w="1133"/>
      </w:tblGrid>
      <w:tr w14:paraId="259E50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4" w:hRule="atLeast"/>
          <w:tblHeader/>
          <w:jc w:val="center"/>
        </w:trPr>
        <w:tc>
          <w:tcPr>
            <w:tcW w:w="1126" w:type="dxa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468A794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eastAsia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地层层位</w:t>
            </w:r>
          </w:p>
          <w:p w14:paraId="03DC732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Layers</w:t>
            </w:r>
          </w:p>
        </w:tc>
        <w:tc>
          <w:tcPr>
            <w:tcW w:w="1026" w:type="dxa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0992B39A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:lang w:val="en-US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样品编号Sample</w:t>
            </w:r>
            <w:r>
              <w:rPr>
                <w:rFonts w:hint="eastAsia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 xml:space="preserve"> No.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482A36E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深度depth</w:t>
            </w:r>
          </w:p>
          <w:p w14:paraId="63B2E7D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(m)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2460C4CB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剂量率Dose rate</w:t>
            </w:r>
          </w:p>
          <w:p w14:paraId="77A54B2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(Gy.ka</w:t>
            </w: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vertAlign w:val="superscript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-1</w:t>
            </w: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)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7C776D0B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50℃等效剂量</w:t>
            </w:r>
          </w:p>
          <w:p w14:paraId="3088BC7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De（Gy）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2608615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100℃等效剂量</w:t>
            </w:r>
          </w:p>
          <w:p w14:paraId="496F77B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De（Gy）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661949D1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150℃等效剂量</w:t>
            </w:r>
          </w:p>
          <w:p w14:paraId="3B61760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De（Gy）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63906C36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200℃等效剂量</w:t>
            </w:r>
          </w:p>
          <w:p w14:paraId="6370F90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De（Gy）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19E417D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280℃等效剂量</w:t>
            </w:r>
          </w:p>
          <w:p w14:paraId="5398E0D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De（Gy）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7F638DE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50℃年龄Age</w:t>
            </w:r>
          </w:p>
          <w:p w14:paraId="224F42B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（ka）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5FA4AE6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100℃年龄Age</w:t>
            </w:r>
          </w:p>
          <w:p w14:paraId="68EC7EF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（ka）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70A8BEC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150℃年龄Age</w:t>
            </w:r>
          </w:p>
          <w:p w14:paraId="2980150B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（ka）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224C731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200℃年龄Age</w:t>
            </w:r>
          </w:p>
          <w:p w14:paraId="4083BB0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（ka）</w:t>
            </w:r>
          </w:p>
        </w:tc>
        <w:tc>
          <w:tcPr>
            <w:tcW w:w="0" w:type="auto"/>
            <w:tcBorders>
              <w:top w:val="single" w:color="000000" w:themeColor="dark1" w:sz="12" w:space="0"/>
              <w:left w:val="nil"/>
              <w:bottom w:val="single" w:color="000000" w:themeColor="dark1" w:sz="6" w:space="0"/>
              <w:right w:val="nil"/>
            </w:tcBorders>
            <w:shd w:val="clear" w:color="auto" w:fill="FFFFFF"/>
            <w:vAlign w:val="center"/>
          </w:tcPr>
          <w:p w14:paraId="155520F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280℃年龄Age</w:t>
            </w:r>
          </w:p>
          <w:p w14:paraId="3B76897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sz w:val="20"/>
                <w:szCs w:val="20"/>
                <w:u w:val="no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ajorEastAsia"/>
                <w:b/>
                <w:bCs/>
                <w:i w:val="0"/>
                <w:iCs w:val="0"/>
                <w:color w:val="000000" w:themeColor="dark1"/>
                <w:kern w:val="0"/>
                <w:sz w:val="20"/>
                <w:szCs w:val="20"/>
                <w:u w:val="none"/>
                <w:lang w:val="en-US" w:eastAsia="zh-CN" w:bidi="ar"/>
                <w14:textFill>
                  <w14:solidFill>
                    <w14:schemeClr w14:val="dk1"/>
                  </w14:solidFill>
                </w14:textFill>
              </w:rPr>
              <w:t>（ka）</w:t>
            </w:r>
          </w:p>
        </w:tc>
      </w:tr>
      <w:tr w14:paraId="7C600D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126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3D9BFC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1026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7584BA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WJL-09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17EAF1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4.45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F2D012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3.09±0.1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92F9C3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165.4±10.4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DF4128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214.9±8.0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29E9A1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260.1±7.1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AEB668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280.5±7.7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FB2307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222.7±17.4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63B3E4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53.5±3.9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9A64CD6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69.5±3.5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4E305B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84.1±3.7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BA776E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90.7±4.0</w:t>
            </w:r>
          </w:p>
        </w:tc>
        <w:tc>
          <w:tcPr>
            <w:tcW w:w="0" w:type="auto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4AF38A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72.0±6.2</w:t>
            </w:r>
          </w:p>
        </w:tc>
      </w:tr>
      <w:tr w14:paraId="0E4E88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126" w:type="dxa"/>
            <w:vMerge w:val="restart"/>
            <w:tcBorders>
              <w:top w:val="nil"/>
              <w:left w:val="nil"/>
              <w:right w:val="nil"/>
            </w:tcBorders>
            <w:shd w:val="clear" w:color="auto" w:fill="FFFFFF"/>
            <w:vAlign w:val="center"/>
          </w:tcPr>
          <w:p w14:paraId="2590F3B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8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D52961F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4C2FD1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10.18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39D279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3.21±0.11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1423CA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347.8±11.6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A99C24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635.0±14.5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96304B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872.6±21.1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B981C7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987.0±22.6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506A36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1047.7±30.7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5C6A4F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108.3±5.3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CA5274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197.8±8.3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5D6537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271.8±11.7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14792A6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307.4±13.0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2D2ACFA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326.3±15.0</w:t>
            </w:r>
          </w:p>
        </w:tc>
      </w:tr>
      <w:tr w14:paraId="26659B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126" w:type="dxa"/>
            <w:vMerge w:val="continue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AF4CF0E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D2EAEFF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16AD6AB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10.32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52DE0B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3.13±0.11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1DF734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503.7±54.0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7D8232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695.0±42.7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6CC7DB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913.6±27.0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58EEA9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1013.7±31.1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B6AF0D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1119.8±42.6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25FD37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160.8±18.1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D4C55C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221.9±15.7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56AC24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291.7±13.5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7D58866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323.6±15.2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65E0A1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357.5±18.6</w:t>
            </w:r>
          </w:p>
        </w:tc>
      </w:tr>
      <w:tr w14:paraId="53A4A9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126" w:type="dxa"/>
            <w:vMerge w:val="restart"/>
            <w:tcBorders>
              <w:top w:val="nil"/>
              <w:left w:val="nil"/>
              <w:right w:val="nil"/>
            </w:tcBorders>
            <w:shd w:val="clear" w:color="auto" w:fill="FFFFFF"/>
            <w:vAlign w:val="center"/>
          </w:tcPr>
          <w:p w14:paraId="0204AA2A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C8A6D2A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E8A6838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11.27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056E92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±0.11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AD360C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414.9±19.9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021B83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636.1±15.7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B262D51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881.0±20.3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DA577E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988.0±22.6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96C4D9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1086.3±32.2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AA00551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133.9±8.0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5CFADA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205.2±8.9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3A73CEE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284.3±12.0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4D399EE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318.8±13.5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7F4257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350.5±16.2</w:t>
            </w:r>
          </w:p>
        </w:tc>
      </w:tr>
      <w:tr w14:paraId="2DE698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126" w:type="dxa"/>
            <w:vMerge w:val="continue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3F75028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645DAF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F91BB4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11.47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89B350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3.0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</w:t>
            </w: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±0.1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986AAF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386.9±11.4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D4153F1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644.6±18.5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44C2D8E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900.6±21.5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35F636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1036.2±25.9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1E84395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1119.4±36.8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A1E7C39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125.4±5.8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458911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208.9±9.5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05D62A1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291.9±12.5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D2B4EB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335.9±14.5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370BACC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362.8±17.5</w:t>
            </w:r>
          </w:p>
        </w:tc>
      </w:tr>
      <w:tr w14:paraId="520647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126" w:type="dxa"/>
            <w:vMerge w:val="continue"/>
            <w:tcBorders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1EC47D5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36A449FD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WJL-01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0FA5D18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11.87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403D8DB7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3.0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±0.1</w:t>
            </w:r>
            <w:r>
              <w:rPr>
                <w:rFonts w:hint="eastAsia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2FF3A0F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424.5±13.3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2F23C3E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699.8±25.6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03F98BC0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891.8±22.1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798BAC9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999.6±25.8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7C12882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1199.0±65.5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68C95936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140.2±6.7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5D37C533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231.2±11.8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17E761A2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294.6±12.8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059CCE24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330.2±14.5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000000" w:themeColor="dark1" w:sz="12" w:space="0"/>
              <w:right w:val="nil"/>
            </w:tcBorders>
            <w:shd w:val="clear" w:color="auto" w:fill="FFFFFF"/>
            <w:vAlign w:val="center"/>
          </w:tcPr>
          <w:p w14:paraId="106C7B5E">
            <w:pPr>
              <w:keepNext w:val="0"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sz w:val="16"/>
                <w:szCs w:val="16"/>
                <w:u w:val="none"/>
              </w:rPr>
            </w:pPr>
            <w:r>
              <w:rPr>
                <w:rFonts w:hint="default" w:ascii="Times New Roman" w:hAnsi="Times New Roman" w:eastAsia="微软雅黑" w:cs="Times New Roman"/>
                <w:b w:val="0"/>
                <w:i w:val="0"/>
                <w:iCs w:val="0"/>
                <w:color w:val="08090C"/>
                <w:kern w:val="0"/>
                <w:sz w:val="16"/>
                <w:szCs w:val="16"/>
                <w:u w:val="none"/>
                <w:lang w:val="en-US" w:eastAsia="zh-CN" w:bidi="ar"/>
              </w:rPr>
              <w:t>396.1±25.9</w:t>
            </w:r>
          </w:p>
        </w:tc>
      </w:tr>
    </w:tbl>
    <w:p w14:paraId="06576B49">
      <w:pPr>
        <w:jc w:val="left"/>
        <w:rPr>
          <w:rFonts w:hint="default" w:eastAsiaTheme="minorEastAsia"/>
          <w:lang w:val="en-US" w:eastAsia="zh-CN"/>
        </w:rPr>
      </w:pPr>
      <w:r>
        <w:rPr>
          <w:rFonts w:hint="default" w:ascii="Times New Roman" w:hAnsi="Times New Roman" w:eastAsia="仿宋" w:cs="Times New Roman"/>
          <w:sz w:val="18"/>
          <w:szCs w:val="18"/>
          <w:lang w:val="en-US" w:eastAsia="zh-CN"/>
        </w:rPr>
        <w:t>注：表中等效剂量和年龄误差均为1σ/ The errors for De and age values are 1σ.</w:t>
      </w:r>
    </w:p>
    <w:p w14:paraId="37E6354D">
      <w:pPr>
        <w:widowControl/>
        <w:jc w:val="both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50C8B71A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3F700E62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56D69729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70009D70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1CBF8C30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53AD8762">
      <w:pPr>
        <w:widowControl/>
        <w:jc w:val="both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36FF378E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6556EBA0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016115DD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255B6E2D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4B2D6A89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3ED951C1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525CE0A1">
      <w:pPr>
        <w:widowControl/>
        <w:jc w:val="center"/>
        <w:rPr>
          <w:rFonts w:hint="eastAsia" w:ascii="Times New Roman" w:hAnsi="Times New Roman" w:cs="Times New Roman" w:eastAsiaTheme="majorEastAsia"/>
          <w:b/>
          <w:bCs/>
          <w:color w:val="231F20"/>
          <w:kern w:val="0"/>
          <w:sz w:val="18"/>
          <w:szCs w:val="18"/>
          <w:lang w:bidi="ar"/>
        </w:rPr>
      </w:pPr>
    </w:p>
    <w:p w14:paraId="16FD8087">
      <w:pPr>
        <w:keepNext w:val="0"/>
        <w:keepLines w:val="0"/>
        <w:pageBreakBefore w:val="0"/>
        <w:kinsoku w:val="0"/>
        <w:wordWrap/>
        <w:overflowPunct/>
        <w:topLinePunct w:val="0"/>
        <w:autoSpaceDE/>
        <w:autoSpaceDN/>
        <w:bidi w:val="0"/>
        <w:adjustRightInd/>
        <w:snapToGrid/>
        <w:jc w:val="center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  <w:t>附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表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武家梁1号地点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钾长石单片MET-pIRIR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  <w:vertAlign w:val="subscript"/>
        </w:rPr>
        <w:t>250℃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vertAlign w:val="baseline"/>
          <w:lang w:val="en-US" w:eastAsia="zh-CN"/>
        </w:rPr>
        <w:t>贝叶斯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  <w:vertAlign w:val="baseline"/>
          <w:lang w:val="en-US" w:eastAsia="zh-CN"/>
        </w:rPr>
        <w:t>模拟</w:t>
      </w:r>
      <w:r>
        <w:rPr>
          <w:rFonts w:hint="default" w:ascii="Times New Roman" w:hAnsi="Times New Roman" w:eastAsia="宋体" w:cs="Times New Roman"/>
          <w:b/>
          <w:bCs/>
          <w:sz w:val="18"/>
          <w:szCs w:val="18"/>
        </w:rPr>
        <w:t>年龄结果</w:t>
      </w:r>
    </w:p>
    <w:p w14:paraId="01E9EA9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宋体" w:cs="Times New Roman"/>
          <w:b/>
          <w:bCs/>
          <w:sz w:val="18"/>
          <w:szCs w:val="1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Attached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Tab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le 3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.</w:t>
      </w:r>
      <w:r>
        <w:rPr>
          <w:b/>
          <w:bCs/>
          <w:sz w:val="18"/>
          <w:szCs w:val="18"/>
        </w:rPr>
        <w:t xml:space="preserve"> 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>The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Bayesian modelled ages for the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potassium feldspar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SAR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MET-pIRIR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vertAlign w:val="subscript"/>
        </w:rPr>
        <w:t>250</w:t>
      </w:r>
      <w:r>
        <w:rPr>
          <w:rFonts w:ascii="Times New Roman" w:hAnsi="Times New Roman" w:eastAsia="宋体" w:cs="Times New Roman"/>
          <w:b/>
          <w:bCs/>
          <w:sz w:val="18"/>
          <w:szCs w:val="18"/>
          <w:vertAlign w:val="subscript"/>
        </w:rPr>
        <w:t>℃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age results f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or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the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WJL1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site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 xml:space="preserve"> o</w:t>
      </w: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btained using the OxCal v.4.4.4 platform (</w:t>
      </w:r>
      <w:r>
        <w:rPr>
          <w:rFonts w:hint="eastAsia" w:ascii="Times New Roman" w:hAnsi="Times New Roman" w:cs="Times New Roman"/>
          <w:b/>
          <w:bCs/>
          <w:sz w:val="18"/>
          <w:szCs w:val="18"/>
          <w:lang w:val="en-US" w:eastAsia="zh-CN"/>
        </w:rPr>
        <w:t>Ramsey,2008)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  <w:lang w:val="en-US" w:eastAsia="zh-CN"/>
        </w:rPr>
        <w:t>.</w:t>
      </w:r>
    </w:p>
    <w:p w14:paraId="5A92D41B">
      <w:pPr>
        <w:jc w:val="center"/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8843010" cy="2205990"/>
            <wp:effectExtent l="0" t="0" r="15240" b="3810"/>
            <wp:docPr id="17" name="图片 17" descr="WJL样品年龄建模结果_Shee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JL样品年龄建模结果_Sheet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4301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8B6AA">
      <w:pPr>
        <w:rPr>
          <w:rFonts w:hint="eastAsia" w:ascii="Times New Roman" w:hAnsi="Times New Roman" w:cs="Times New Roman"/>
          <w:sz w:val="15"/>
          <w:szCs w:val="15"/>
          <w:lang w:val="en-US" w:eastAsia="zh-CN"/>
        </w:rPr>
      </w:pPr>
    </w:p>
    <w:p w14:paraId="07A1EFF5">
      <w:pPr>
        <w:rPr>
          <w:rFonts w:hint="eastAsia" w:ascii="Times New Roman" w:hAnsi="Times New Roman" w:cs="Times New Roman"/>
          <w:sz w:val="15"/>
          <w:szCs w:val="15"/>
          <w:lang w:val="en-US" w:eastAsia="zh-CN"/>
        </w:rPr>
      </w:pPr>
    </w:p>
    <w:p w14:paraId="2E723F32">
      <w:pPr>
        <w:rPr>
          <w:rFonts w:hint="eastAsia" w:ascii="Times New Roman" w:hAnsi="Times New Roman" w:cs="Times New Roman"/>
          <w:sz w:val="15"/>
          <w:szCs w:val="15"/>
          <w:lang w:val="en-US" w:eastAsia="zh-CN"/>
        </w:rPr>
      </w:pPr>
    </w:p>
    <w:p w14:paraId="277127D5">
      <w:pPr>
        <w:rPr>
          <w:rFonts w:hint="eastAsia" w:ascii="Times New Roman" w:hAnsi="Times New Roman" w:cs="Times New Roman"/>
          <w:sz w:val="15"/>
          <w:szCs w:val="15"/>
          <w:lang w:val="en-US" w:eastAsia="zh-CN"/>
        </w:rPr>
      </w:pPr>
    </w:p>
    <w:p w14:paraId="7AF0CB23">
      <w:pPr>
        <w:rPr>
          <w:rFonts w:hint="eastAsia" w:ascii="Times New Roman" w:hAnsi="Times New Roman" w:cs="Times New Roman"/>
          <w:sz w:val="15"/>
          <w:szCs w:val="15"/>
          <w:lang w:val="en-US" w:eastAsia="zh-CN"/>
        </w:rPr>
      </w:pPr>
    </w:p>
    <w:p w14:paraId="5634DA41">
      <w:pP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  <w:t>参考文献：</w:t>
      </w:r>
    </w:p>
    <w:p w14:paraId="66AEFADE">
      <w:pP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  <w:t>Li B, Li SH. Luminescence dating of K-feldspar from sedi-ments: A protocol without anomalous fading correction[J]. Quarternary Geochronology, 2011, 6: 468-479</w:t>
      </w:r>
      <w:r>
        <w:rPr>
          <w:rFonts w:hint="eastAsia" w:ascii="Times New Roman" w:hAnsi="Times New Roman" w:eastAsia="宋体" w:cs="Times New Roman"/>
          <w:sz w:val="20"/>
          <w:szCs w:val="20"/>
          <w:lang w:val="en-US" w:eastAsia="zh-CN"/>
        </w:rPr>
        <w:t>.</w:t>
      </w:r>
    </w:p>
    <w:p w14:paraId="7955B1F6">
      <w:pP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</w:pPr>
      <w: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  <w:t>Ramsey CB. Deposition models for chronological records[J]. Quaternary Science Reviews, 2008, 27:</w:t>
      </w:r>
      <w:r>
        <w:rPr>
          <w:rFonts w:hint="eastAsia" w:ascii="Times New Roman" w:hAnsi="Times New Roman" w:eastAsia="宋体" w:cs="Times New Roman"/>
          <w:sz w:val="20"/>
          <w:szCs w:val="20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0"/>
          <w:szCs w:val="20"/>
          <w:lang w:val="en-US" w:eastAsia="zh-CN"/>
        </w:rPr>
        <w:t>42-60</w:t>
      </w:r>
      <w:r>
        <w:rPr>
          <w:rFonts w:hint="eastAsia" w:ascii="Times New Roman" w:hAnsi="Times New Roman" w:eastAsia="宋体" w:cs="Times New Roman"/>
          <w:sz w:val="20"/>
          <w:szCs w:val="20"/>
          <w:lang w:val="en-US" w:eastAsia="zh-CN"/>
        </w:rPr>
        <w:t>.</w:t>
      </w:r>
    </w:p>
    <w:p w14:paraId="0189F661"/>
    <w:sectPr>
      <w:pgSz w:w="16838" w:h="11906" w:orient="landscape"/>
      <w:pgMar w:top="720" w:right="720" w:bottom="720" w:left="720" w:header="851" w:footer="992" w:gutter="0"/>
      <w:cols w:space="0" w:num="1"/>
      <w:rtlGutter w:val="0"/>
      <w:docGrid w:type="lines" w:linePitch="31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311CEA"/>
    <w:rsid w:val="06A66D03"/>
    <w:rsid w:val="07F356B0"/>
    <w:rsid w:val="0CEA12C0"/>
    <w:rsid w:val="0DCC13F5"/>
    <w:rsid w:val="149B20AF"/>
    <w:rsid w:val="15AE788B"/>
    <w:rsid w:val="16D76A65"/>
    <w:rsid w:val="1A403DE0"/>
    <w:rsid w:val="1A404921"/>
    <w:rsid w:val="1B3767AB"/>
    <w:rsid w:val="1BEC6B0F"/>
    <w:rsid w:val="1C3B1844"/>
    <w:rsid w:val="1E9B7A75"/>
    <w:rsid w:val="1FF111B3"/>
    <w:rsid w:val="236F1CBA"/>
    <w:rsid w:val="23996ED4"/>
    <w:rsid w:val="24A81A41"/>
    <w:rsid w:val="271B299E"/>
    <w:rsid w:val="29CE74E7"/>
    <w:rsid w:val="2A314286"/>
    <w:rsid w:val="2F601072"/>
    <w:rsid w:val="32171FB4"/>
    <w:rsid w:val="343C3F54"/>
    <w:rsid w:val="353115DE"/>
    <w:rsid w:val="358E5B04"/>
    <w:rsid w:val="35DA1C76"/>
    <w:rsid w:val="36086302"/>
    <w:rsid w:val="36F745EE"/>
    <w:rsid w:val="37CD55EE"/>
    <w:rsid w:val="3BE70C49"/>
    <w:rsid w:val="3F323F8F"/>
    <w:rsid w:val="44427364"/>
    <w:rsid w:val="48EE4381"/>
    <w:rsid w:val="4B137364"/>
    <w:rsid w:val="4BDE17AF"/>
    <w:rsid w:val="53982CB5"/>
    <w:rsid w:val="552B5CCB"/>
    <w:rsid w:val="55833339"/>
    <w:rsid w:val="590F3861"/>
    <w:rsid w:val="5A321460"/>
    <w:rsid w:val="5D9A56C3"/>
    <w:rsid w:val="5EA70098"/>
    <w:rsid w:val="60457B68"/>
    <w:rsid w:val="659A2704"/>
    <w:rsid w:val="65EB2F60"/>
    <w:rsid w:val="65EC0A86"/>
    <w:rsid w:val="6842701C"/>
    <w:rsid w:val="6B625A72"/>
    <w:rsid w:val="70F53CD1"/>
    <w:rsid w:val="72B2653C"/>
    <w:rsid w:val="73D429B3"/>
    <w:rsid w:val="742D0BE7"/>
    <w:rsid w:val="75DE663D"/>
    <w:rsid w:val="778E5E41"/>
    <w:rsid w:val="79C93160"/>
    <w:rsid w:val="7B1E128A"/>
    <w:rsid w:val="7DBF2109"/>
    <w:rsid w:val="7F9D4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99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 w:firstLineChars="200"/>
    </w:pPr>
    <w:rPr>
      <w:szCs w:val="20"/>
    </w:rPr>
  </w:style>
  <w:style w:type="paragraph" w:styleId="3">
    <w:name w:val="Body Text Indent"/>
    <w:basedOn w:val="1"/>
    <w:qFormat/>
    <w:uiPriority w:val="99"/>
    <w:pPr>
      <w:spacing w:after="120"/>
      <w:ind w:left="420" w:leftChars="200"/>
    </w:pPr>
  </w:style>
  <w:style w:type="paragraph" w:styleId="4">
    <w:name w:val="footnote text"/>
    <w:basedOn w:val="1"/>
    <w:qFormat/>
    <w:uiPriority w:val="99"/>
    <w:pPr>
      <w:snapToGrid w:val="0"/>
      <w:jc w:val="left"/>
    </w:pPr>
    <w:rPr>
      <w:sz w:val="18"/>
      <w:szCs w:val="18"/>
    </w:rPr>
  </w:style>
  <w:style w:type="paragraph" w:styleId="5">
    <w:name w:val="Body Text First Indent 2"/>
    <w:basedOn w:val="3"/>
    <w:qFormat/>
    <w:uiPriority w:val="0"/>
    <w:pPr>
      <w:spacing w:line="276" w:lineRule="auto"/>
      <w:ind w:firstLine="420" w:firstLineChars="200"/>
    </w:pPr>
    <w:rPr>
      <w:rFonts w:ascii="Calibri" w:hAnsi="Calibri" w:eastAsia="宋体" w:cs="Times New Roman"/>
      <w:szCs w:val="22"/>
    </w:rPr>
  </w:style>
  <w:style w:type="character" w:styleId="8">
    <w:name w:val="Strong"/>
    <w:basedOn w:val="7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344</Words>
  <Characters>823</Characters>
  <Lines>0</Lines>
  <Paragraphs>0</Paragraphs>
  <TotalTime>1</TotalTime>
  <ScaleCrop>false</ScaleCrop>
  <LinksUpToDate>false</LinksUpToDate>
  <CharactersWithSpaces>942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2026-01-02T11:55:00Z</dcterms:created>
  <dc:creator>yjguo</dc:creator>
  <cp:lastModifiedBy>郭玉杰</cp:lastModifiedBy>
  <dcterms:modified xsi:type="dcterms:W3CDTF">2026-04-29T09:57:57Z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eyJoZGlkIjoiYWMyMjhmMDczOTM0NTg0ZjZkNjA2OTJmYjk2MDVkMTUiLCJ1c2VySWQiOiIzNDU4OTEzMDAifQ==</vt:lpwstr>
  </property>
  <property fmtid="{D5CDD505-2E9C-101B-9397-08002B2CF9AE}" pid="4" name="ICV">
    <vt:lpwstr>55D2B8FDED154416BD41755CC1C1C14A_13</vt:lpwstr>
  </property>
</Properties>
</file>